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66" w:rsidRPr="00640066" w:rsidRDefault="00640066" w:rsidP="00640066">
      <w:pPr>
        <w:pStyle w:val="Standard"/>
        <w:ind w:firstLine="709"/>
        <w:jc w:val="center"/>
        <w:rPr>
          <w:sz w:val="22"/>
          <w:szCs w:val="22"/>
          <w:lang w:val="ru-RU"/>
        </w:rPr>
      </w:pPr>
      <w:r w:rsidRPr="00640066">
        <w:rPr>
          <w:sz w:val="22"/>
          <w:szCs w:val="22"/>
          <w:lang w:val="ru-RU"/>
        </w:rPr>
        <w:t>МИНИСТЕРСТВО ОБРАЗОВАНИЯ И НАУКИ РОССИЙСКОЙ ФЕДЕРАЦИИ</w:t>
      </w:r>
    </w:p>
    <w:p w:rsidR="00640066" w:rsidRPr="00640066" w:rsidRDefault="00640066" w:rsidP="00640066">
      <w:pPr>
        <w:pStyle w:val="Standard"/>
        <w:ind w:firstLine="709"/>
        <w:jc w:val="center"/>
        <w:rPr>
          <w:sz w:val="22"/>
          <w:szCs w:val="22"/>
          <w:lang w:val="ru-RU"/>
        </w:rPr>
      </w:pPr>
      <w:r w:rsidRPr="00640066">
        <w:rPr>
          <w:sz w:val="22"/>
          <w:szCs w:val="22"/>
          <w:lang w:val="ru-RU"/>
        </w:rPr>
        <w:t>(МИНОБРНАУКИ РОССИИ)</w:t>
      </w:r>
    </w:p>
    <w:p w:rsidR="00640066" w:rsidRPr="00640066" w:rsidRDefault="00640066" w:rsidP="00640066">
      <w:pPr>
        <w:pStyle w:val="Standard"/>
        <w:rPr>
          <w:sz w:val="22"/>
          <w:szCs w:val="22"/>
          <w:lang w:val="ru-RU"/>
        </w:rPr>
      </w:pPr>
    </w:p>
    <w:p w:rsidR="00640066" w:rsidRPr="00640066" w:rsidRDefault="00640066" w:rsidP="00640066">
      <w:pPr>
        <w:pStyle w:val="Standard"/>
        <w:ind w:firstLine="709"/>
        <w:jc w:val="center"/>
        <w:rPr>
          <w:sz w:val="22"/>
          <w:szCs w:val="22"/>
          <w:lang w:val="ru-RU"/>
        </w:rPr>
      </w:pPr>
      <w:r w:rsidRPr="00640066">
        <w:rPr>
          <w:sz w:val="22"/>
          <w:szCs w:val="22"/>
          <w:lang w:val="ru-RU"/>
        </w:rPr>
        <w:t>Федеральное государственное бюджетное профессиональное образовательное учреждение</w:t>
      </w:r>
    </w:p>
    <w:p w:rsidR="00640066" w:rsidRPr="00640066" w:rsidRDefault="00640066" w:rsidP="00640066">
      <w:pPr>
        <w:pStyle w:val="Standard"/>
        <w:ind w:firstLine="709"/>
        <w:jc w:val="center"/>
        <w:rPr>
          <w:sz w:val="22"/>
          <w:szCs w:val="22"/>
          <w:lang w:val="ru-RU"/>
        </w:rPr>
      </w:pPr>
      <w:r w:rsidRPr="00640066">
        <w:rPr>
          <w:sz w:val="22"/>
          <w:szCs w:val="22"/>
          <w:lang w:val="ru-RU"/>
        </w:rPr>
        <w:t xml:space="preserve">«Покровское специальное учебно-воспитательное учреждение для </w:t>
      </w:r>
      <w:proofErr w:type="gramStart"/>
      <w:r w:rsidRPr="00640066">
        <w:rPr>
          <w:sz w:val="22"/>
          <w:szCs w:val="22"/>
          <w:lang w:val="ru-RU"/>
        </w:rPr>
        <w:t>обучающихся</w:t>
      </w:r>
      <w:proofErr w:type="gramEnd"/>
      <w:r w:rsidRPr="00640066">
        <w:rPr>
          <w:sz w:val="22"/>
          <w:szCs w:val="22"/>
          <w:lang w:val="ru-RU"/>
        </w:rPr>
        <w:t xml:space="preserve"> с </w:t>
      </w:r>
      <w:proofErr w:type="spellStart"/>
      <w:r w:rsidRPr="00640066">
        <w:rPr>
          <w:sz w:val="22"/>
          <w:szCs w:val="22"/>
          <w:lang w:val="ru-RU"/>
        </w:rPr>
        <w:t>девиантным</w:t>
      </w:r>
      <w:proofErr w:type="spellEnd"/>
      <w:r w:rsidRPr="00640066">
        <w:rPr>
          <w:sz w:val="22"/>
          <w:szCs w:val="22"/>
          <w:lang w:val="ru-RU"/>
        </w:rPr>
        <w:t xml:space="preserve"> (общественно опасным) поведением закрытого типа»</w:t>
      </w:r>
    </w:p>
    <w:p w:rsidR="00640066" w:rsidRPr="00640066" w:rsidRDefault="00640066" w:rsidP="00640066">
      <w:pPr>
        <w:pStyle w:val="Standard"/>
        <w:ind w:firstLine="709"/>
        <w:jc w:val="center"/>
        <w:rPr>
          <w:sz w:val="22"/>
          <w:szCs w:val="22"/>
          <w:lang w:val="ru-RU"/>
        </w:rPr>
      </w:pPr>
      <w:r w:rsidRPr="00640066">
        <w:rPr>
          <w:sz w:val="22"/>
          <w:szCs w:val="22"/>
          <w:lang w:val="ru-RU"/>
        </w:rPr>
        <w:t>(Покровское СУВУ)</w:t>
      </w:r>
    </w:p>
    <w:p w:rsidR="00640066" w:rsidRPr="00422B4C" w:rsidRDefault="00640066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640066" w:rsidRPr="00422B4C" w:rsidRDefault="00640066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640066" w:rsidRPr="00422B4C" w:rsidRDefault="00640066" w:rsidP="00640066">
      <w:pPr>
        <w:pStyle w:val="Standard"/>
        <w:jc w:val="right"/>
        <w:rPr>
          <w:b/>
          <w:sz w:val="22"/>
          <w:szCs w:val="22"/>
          <w:lang w:val="ru-RU"/>
        </w:rPr>
      </w:pP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  <w:t xml:space="preserve">       </w:t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  <w:r w:rsidRPr="00422B4C">
        <w:rPr>
          <w:szCs w:val="28"/>
          <w:lang w:val="ru-RU"/>
        </w:rPr>
        <w:tab/>
      </w:r>
    </w:p>
    <w:p w:rsidR="00640066" w:rsidRPr="00422B4C" w:rsidRDefault="00640066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640066" w:rsidRPr="00422B4C" w:rsidRDefault="00640066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640066" w:rsidRPr="00422B4C" w:rsidRDefault="00640066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350317" w:rsidRDefault="00350317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350317" w:rsidRDefault="00350317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350317" w:rsidRPr="00422B4C" w:rsidRDefault="00350317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640066" w:rsidRPr="00422B4C" w:rsidRDefault="00640066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640066" w:rsidRPr="00422B4C" w:rsidRDefault="00640066" w:rsidP="00640066">
      <w:pPr>
        <w:pStyle w:val="Standard"/>
        <w:ind w:firstLine="709"/>
        <w:jc w:val="center"/>
        <w:rPr>
          <w:b/>
          <w:sz w:val="22"/>
          <w:szCs w:val="22"/>
          <w:lang w:val="ru-RU"/>
        </w:rPr>
      </w:pPr>
    </w:p>
    <w:p w:rsidR="00A512B4" w:rsidRDefault="00640066" w:rsidP="00640066">
      <w:pPr>
        <w:pStyle w:val="Standard"/>
        <w:ind w:firstLine="709"/>
        <w:jc w:val="center"/>
        <w:rPr>
          <w:sz w:val="32"/>
          <w:szCs w:val="32"/>
          <w:lang w:val="ru-RU"/>
        </w:rPr>
      </w:pPr>
      <w:r w:rsidRPr="00350317">
        <w:rPr>
          <w:sz w:val="32"/>
          <w:szCs w:val="32"/>
          <w:lang w:val="ru-RU"/>
        </w:rPr>
        <w:t xml:space="preserve">Доклад на педагогическом совете </w:t>
      </w:r>
    </w:p>
    <w:p w:rsidR="00640066" w:rsidRPr="00350317" w:rsidRDefault="00640066" w:rsidP="00640066">
      <w:pPr>
        <w:pStyle w:val="Standard"/>
        <w:ind w:firstLine="709"/>
        <w:jc w:val="center"/>
        <w:rPr>
          <w:sz w:val="32"/>
          <w:szCs w:val="32"/>
          <w:lang w:val="ru-RU"/>
        </w:rPr>
      </w:pPr>
      <w:r w:rsidRPr="00350317">
        <w:rPr>
          <w:sz w:val="32"/>
          <w:szCs w:val="32"/>
          <w:lang w:val="ru-RU"/>
        </w:rPr>
        <w:t>на тему:</w:t>
      </w:r>
    </w:p>
    <w:p w:rsidR="00640066" w:rsidRPr="00350317" w:rsidRDefault="00640066" w:rsidP="00640066">
      <w:pPr>
        <w:pStyle w:val="Standard"/>
        <w:ind w:firstLine="709"/>
        <w:jc w:val="center"/>
        <w:rPr>
          <w:sz w:val="32"/>
          <w:szCs w:val="32"/>
          <w:lang w:val="ru-RU"/>
        </w:rPr>
      </w:pPr>
    </w:p>
    <w:p w:rsidR="00640066" w:rsidRPr="00350317" w:rsidRDefault="00640066" w:rsidP="00640066">
      <w:pPr>
        <w:pStyle w:val="Standard"/>
        <w:ind w:firstLine="709"/>
        <w:jc w:val="center"/>
        <w:rPr>
          <w:sz w:val="28"/>
          <w:szCs w:val="28"/>
          <w:lang w:val="ru-RU"/>
        </w:rPr>
      </w:pPr>
      <w:r w:rsidRPr="00350317">
        <w:rPr>
          <w:sz w:val="32"/>
          <w:szCs w:val="32"/>
          <w:lang w:val="ru-RU"/>
        </w:rPr>
        <w:t>«Формирование учебной мотивации обучающихся как одно из ведущих условий повышения качества обучения и показатель результативности образовательного процесса»</w:t>
      </w:r>
    </w:p>
    <w:p w:rsidR="00640066" w:rsidRPr="00640066" w:rsidRDefault="00640066" w:rsidP="00640066">
      <w:pPr>
        <w:pStyle w:val="Standard"/>
        <w:ind w:firstLine="709"/>
        <w:jc w:val="center"/>
        <w:rPr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Pr="00640066" w:rsidRDefault="00640066" w:rsidP="00640066">
      <w:pPr>
        <w:pStyle w:val="Standard"/>
        <w:ind w:firstLine="709"/>
        <w:jc w:val="right"/>
        <w:rPr>
          <w:lang w:val="ru-RU"/>
        </w:rPr>
      </w:pPr>
      <w:r w:rsidRPr="00640066">
        <w:rPr>
          <w:lang w:val="ru-RU"/>
        </w:rPr>
        <w:t>Подготовила</w:t>
      </w:r>
    </w:p>
    <w:p w:rsidR="00640066" w:rsidRPr="00640066" w:rsidRDefault="00640066" w:rsidP="00640066">
      <w:pPr>
        <w:pStyle w:val="Standard"/>
        <w:ind w:firstLine="709"/>
        <w:jc w:val="right"/>
        <w:rPr>
          <w:lang w:val="ru-RU"/>
        </w:rPr>
      </w:pPr>
      <w:r w:rsidRPr="00640066">
        <w:rPr>
          <w:lang w:val="ru-RU"/>
        </w:rPr>
        <w:t>педагог-психолог</w:t>
      </w:r>
    </w:p>
    <w:p w:rsidR="00640066" w:rsidRPr="00640066" w:rsidRDefault="00640066" w:rsidP="00640066">
      <w:pPr>
        <w:pStyle w:val="Standard"/>
        <w:ind w:firstLine="709"/>
        <w:jc w:val="right"/>
        <w:rPr>
          <w:sz w:val="28"/>
          <w:szCs w:val="28"/>
          <w:lang w:val="ru-RU"/>
        </w:rPr>
      </w:pPr>
      <w:r w:rsidRPr="00640066">
        <w:rPr>
          <w:lang w:val="ru-RU"/>
        </w:rPr>
        <w:t>Здоровец А.В.</w:t>
      </w:r>
    </w:p>
    <w:p w:rsidR="00640066" w:rsidRDefault="00640066" w:rsidP="00640066">
      <w:pPr>
        <w:pStyle w:val="Standard"/>
        <w:ind w:firstLine="709"/>
        <w:jc w:val="right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Default="00640066" w:rsidP="00640066">
      <w:pPr>
        <w:pStyle w:val="Standard"/>
        <w:ind w:firstLine="709"/>
        <w:jc w:val="center"/>
        <w:rPr>
          <w:b/>
          <w:sz w:val="28"/>
          <w:szCs w:val="28"/>
          <w:lang w:val="ru-RU"/>
        </w:rPr>
      </w:pPr>
    </w:p>
    <w:p w:rsidR="00640066" w:rsidRPr="00640066" w:rsidRDefault="00640066" w:rsidP="00640066">
      <w:pPr>
        <w:pStyle w:val="Standard"/>
        <w:ind w:firstLine="709"/>
        <w:jc w:val="center"/>
        <w:rPr>
          <w:sz w:val="28"/>
          <w:szCs w:val="28"/>
          <w:lang w:val="ru-RU"/>
        </w:rPr>
      </w:pPr>
      <w:r w:rsidRPr="00640066">
        <w:rPr>
          <w:sz w:val="28"/>
          <w:szCs w:val="28"/>
          <w:lang w:val="ru-RU"/>
        </w:rPr>
        <w:t>Покров, 2017</w:t>
      </w:r>
    </w:p>
    <w:p w:rsidR="00653D1B" w:rsidRPr="00653D1B" w:rsidRDefault="00653D1B" w:rsidP="00653D1B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3D1B">
        <w:rPr>
          <w:rFonts w:ascii="Times New Roman" w:hAnsi="Times New Roman" w:cs="Times New Roman"/>
          <w:sz w:val="28"/>
        </w:rPr>
        <w:t xml:space="preserve">Современное общество нуждается в человеке, способном самостоятельно мыслить, ставить перед собой и обществом новые задачи и находить их решения, быть готовым как к индивидуальному, так и к коллективному труду, осознавать последствия своих поступков для себя, для других людей и для окружающего мира. Поэтому на первый план выдвигается развитие школьников. </w:t>
      </w: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3D1B">
        <w:rPr>
          <w:rFonts w:ascii="Times New Roman" w:hAnsi="Times New Roman" w:cs="Times New Roman"/>
          <w:b/>
          <w:bCs/>
          <w:sz w:val="28"/>
        </w:rPr>
        <w:t xml:space="preserve">Мотив </w:t>
      </w:r>
      <w:r w:rsidRPr="00653D1B">
        <w:rPr>
          <w:rFonts w:ascii="Times New Roman" w:hAnsi="Times New Roman" w:cs="Times New Roman"/>
          <w:sz w:val="28"/>
        </w:rPr>
        <w:t xml:space="preserve">- побуждение к достижению цели. </w:t>
      </w: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3D1B">
        <w:rPr>
          <w:rFonts w:ascii="Times New Roman" w:hAnsi="Times New Roman" w:cs="Times New Roman"/>
          <w:b/>
          <w:bCs/>
          <w:sz w:val="28"/>
        </w:rPr>
        <w:t xml:space="preserve">Мотивация </w:t>
      </w:r>
      <w:r w:rsidRPr="00653D1B">
        <w:rPr>
          <w:rFonts w:ascii="Times New Roman" w:hAnsi="Times New Roman" w:cs="Times New Roman"/>
          <w:sz w:val="28"/>
        </w:rPr>
        <w:t xml:space="preserve">объясняет целенаправленность действия, организованность и устойчивость деятельности, направленной на достижение определенной цели. </w:t>
      </w: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3D1B">
        <w:rPr>
          <w:rFonts w:ascii="Times New Roman" w:hAnsi="Times New Roman" w:cs="Times New Roman"/>
          <w:b/>
          <w:bCs/>
          <w:sz w:val="28"/>
        </w:rPr>
        <w:t xml:space="preserve">Мотивация </w:t>
      </w:r>
      <w:r w:rsidRPr="00653D1B">
        <w:rPr>
          <w:rFonts w:ascii="Times New Roman" w:hAnsi="Times New Roman" w:cs="Times New Roman"/>
          <w:sz w:val="28"/>
        </w:rPr>
        <w:t xml:space="preserve">- это побуждение, вызывающее активность организма и определяющее его направленность. </w:t>
      </w: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3D1B">
        <w:rPr>
          <w:rFonts w:ascii="Times New Roman" w:hAnsi="Times New Roman" w:cs="Times New Roman"/>
          <w:sz w:val="28"/>
        </w:rPr>
        <w:t xml:space="preserve">Мотивационная сфера учащегося имеет свои источники в практической деятельности. Ученик всегда что-то делает, участвует в какой-то деятельности. Для того чтобы он успешно учился, он должен совершать не любые действия, а вполне определенные. </w:t>
      </w:r>
    </w:p>
    <w:p w:rsidR="00F228EC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3D1B">
        <w:rPr>
          <w:rFonts w:ascii="Times New Roman" w:hAnsi="Times New Roman" w:cs="Times New Roman"/>
          <w:sz w:val="28"/>
        </w:rPr>
        <w:t>Формирование учебной мотивац</w:t>
      </w:r>
      <w:proofErr w:type="gramStart"/>
      <w:r w:rsidRPr="00653D1B">
        <w:rPr>
          <w:rFonts w:ascii="Times New Roman" w:hAnsi="Times New Roman" w:cs="Times New Roman"/>
          <w:sz w:val="28"/>
        </w:rPr>
        <w:t xml:space="preserve">ии у </w:t>
      </w:r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бучающихся</w:t>
      </w:r>
      <w:r w:rsidRPr="00653D1B">
        <w:rPr>
          <w:rFonts w:ascii="Times New Roman" w:hAnsi="Times New Roman" w:cs="Times New Roman"/>
          <w:sz w:val="28"/>
        </w:rPr>
        <w:t xml:space="preserve"> - одна из центральных проблем современной школы. Ее актуальность обусловлена обновлением содержания обучения, постановкой задач формирования у школьников приемов самостоятельного приобретения знаний и развития активной жизненной позиции.</w:t>
      </w:r>
      <w:r>
        <w:rPr>
          <w:rFonts w:ascii="Times New Roman" w:hAnsi="Times New Roman" w:cs="Times New Roman"/>
          <w:sz w:val="28"/>
        </w:rPr>
        <w:t xml:space="preserve">  </w:t>
      </w:r>
      <w:r w:rsidRPr="00653D1B">
        <w:rPr>
          <w:rFonts w:ascii="Times New Roman" w:hAnsi="Times New Roman" w:cs="Times New Roman"/>
          <w:sz w:val="28"/>
        </w:rPr>
        <w:t xml:space="preserve">Поскольку наиболее острые проблемы в области обучения и воспитания связаны с отсутствием мотивов к получению образования у основной массы </w:t>
      </w:r>
      <w:r>
        <w:rPr>
          <w:rFonts w:ascii="Times New Roman" w:hAnsi="Times New Roman" w:cs="Times New Roman"/>
          <w:sz w:val="28"/>
        </w:rPr>
        <w:t>обучающихся</w:t>
      </w:r>
      <w:r w:rsidRPr="00653D1B">
        <w:rPr>
          <w:rFonts w:ascii="Times New Roman" w:hAnsi="Times New Roman" w:cs="Times New Roman"/>
          <w:sz w:val="28"/>
        </w:rPr>
        <w:t>, следствием чего является снижение базовых показателей образованности и воспитанности выпускников всех учебных заведений, то важность названного критерия становится очевидной. Учебная деятельность имеет для разных школьников различный смысл. Выявление характера учебной мотивации и смысла учения для школьника в каждом конкретном случае играет решающую роль в определении учителем мер педагогического воздействия (влияния).</w:t>
      </w:r>
      <w:r>
        <w:rPr>
          <w:rFonts w:ascii="Times New Roman" w:hAnsi="Times New Roman" w:cs="Times New Roman"/>
          <w:sz w:val="28"/>
        </w:rPr>
        <w:t xml:space="preserve"> </w:t>
      </w:r>
    </w:p>
    <w:p w:rsid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Нами было проведено исследование, целью которого стало изучения мотивации учения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Покровского СУВУ. Исследование проводилось в конце января 2017 года. Автором методики изучения мотивации учения и эмоционального отношения к учению выделено 5 уровне</w:t>
      </w:r>
      <w:r w:rsidR="007F1142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учебной мотивации. Коротко их можно охарактеризовать так:</w:t>
      </w:r>
    </w:p>
    <w:p w:rsid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C0EEF">
        <w:rPr>
          <w:rFonts w:ascii="Times New Roman" w:hAnsi="Times New Roman" w:cs="Times New Roman"/>
          <w:b/>
          <w:sz w:val="28"/>
          <w:lang w:val="en-US"/>
        </w:rPr>
        <w:t>I</w:t>
      </w:r>
      <w:r w:rsidRPr="008C0EEF">
        <w:rPr>
          <w:rFonts w:ascii="Times New Roman" w:hAnsi="Times New Roman" w:cs="Times New Roman"/>
          <w:b/>
          <w:sz w:val="28"/>
        </w:rPr>
        <w:t xml:space="preserve"> уровень</w:t>
      </w:r>
      <w:r>
        <w:rPr>
          <w:rFonts w:ascii="Times New Roman" w:hAnsi="Times New Roman" w:cs="Times New Roman"/>
          <w:sz w:val="28"/>
        </w:rPr>
        <w:t xml:space="preserve"> - </w:t>
      </w:r>
      <w:r w:rsidRPr="00653D1B">
        <w:rPr>
          <w:rFonts w:ascii="Times New Roman" w:hAnsi="Times New Roman" w:cs="Times New Roman"/>
          <w:sz w:val="28"/>
        </w:rPr>
        <w:t>выраженное преобладание познавательной мотивации и мотивации достижения и положительным эмоциональным отношением к учению.</w:t>
      </w:r>
      <w:proofErr w:type="gramEnd"/>
      <w:r w:rsidRPr="00653D1B">
        <w:rPr>
          <w:rFonts w:ascii="Times New Roman" w:hAnsi="Times New Roman" w:cs="Times New Roman"/>
          <w:sz w:val="28"/>
        </w:rPr>
        <w:t xml:space="preserve"> При существенном преобладании познавательной мотивации носит продуктивный характер. При доминировании мотивации достижения может </w:t>
      </w:r>
      <w:r>
        <w:rPr>
          <w:rFonts w:ascii="Times New Roman" w:hAnsi="Times New Roman" w:cs="Times New Roman"/>
          <w:sz w:val="28"/>
        </w:rPr>
        <w:t>в случае неуспеха вести к срыву;</w:t>
      </w: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0EEF">
        <w:rPr>
          <w:rFonts w:ascii="Times New Roman" w:hAnsi="Times New Roman" w:cs="Times New Roman"/>
          <w:b/>
          <w:sz w:val="28"/>
        </w:rPr>
        <w:t>II уровень</w:t>
      </w:r>
      <w:r w:rsidRPr="00653D1B">
        <w:rPr>
          <w:rFonts w:ascii="Times New Roman" w:hAnsi="Times New Roman" w:cs="Times New Roman"/>
          <w:sz w:val="28"/>
        </w:rPr>
        <w:t xml:space="preserve"> — продуктивная мотивация, позитивное отношение к учению, соответствие социальному нормативу. </w:t>
      </w: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0EEF">
        <w:rPr>
          <w:rFonts w:ascii="Times New Roman" w:hAnsi="Times New Roman" w:cs="Times New Roman"/>
          <w:b/>
          <w:sz w:val="28"/>
        </w:rPr>
        <w:t>III уровень</w:t>
      </w:r>
      <w:r w:rsidRPr="00653D1B">
        <w:rPr>
          <w:rFonts w:ascii="Times New Roman" w:hAnsi="Times New Roman" w:cs="Times New Roman"/>
          <w:sz w:val="28"/>
        </w:rPr>
        <w:t xml:space="preserve"> — средний уровень, примерно равная выраженность позитивной и негативной мотивации учения, амбивалентное отношение к учению. </w:t>
      </w: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0EEF">
        <w:rPr>
          <w:rFonts w:ascii="Times New Roman" w:hAnsi="Times New Roman" w:cs="Times New Roman"/>
          <w:b/>
          <w:sz w:val="28"/>
        </w:rPr>
        <w:t>IV уровень</w:t>
      </w:r>
      <w:r w:rsidRPr="00653D1B">
        <w:rPr>
          <w:rFonts w:ascii="Times New Roman" w:hAnsi="Times New Roman" w:cs="Times New Roman"/>
          <w:sz w:val="28"/>
        </w:rPr>
        <w:t xml:space="preserve"> — сниженная мотивация, переживание «школьной скуки», отрицательное эмоциональное отношение к учению, </w:t>
      </w:r>
    </w:p>
    <w:p w:rsidR="00653D1B" w:rsidRPr="00653D1B" w:rsidRDefault="00653D1B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0EEF">
        <w:rPr>
          <w:rFonts w:ascii="Times New Roman" w:hAnsi="Times New Roman" w:cs="Times New Roman"/>
          <w:b/>
          <w:sz w:val="28"/>
        </w:rPr>
        <w:t>V уровень</w:t>
      </w:r>
      <w:r w:rsidRPr="00653D1B">
        <w:rPr>
          <w:rFonts w:ascii="Times New Roman" w:hAnsi="Times New Roman" w:cs="Times New Roman"/>
          <w:sz w:val="28"/>
        </w:rPr>
        <w:t xml:space="preserve"> — резко отрицательное отношение к учению.</w:t>
      </w:r>
    </w:p>
    <w:p w:rsidR="009420E1" w:rsidRDefault="009420E1" w:rsidP="0094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53D1B" w:rsidRDefault="00653D1B" w:rsidP="009420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653D1B">
        <w:rPr>
          <w:rFonts w:ascii="Times New Roman" w:hAnsi="Times New Roman" w:cs="Times New Roman"/>
          <w:b/>
        </w:rPr>
        <w:t xml:space="preserve">Рис. 1. Диагностика мотивации учения и эмоционального отношения к учению </w:t>
      </w:r>
      <w:proofErr w:type="gramStart"/>
      <w:r w:rsidRPr="00653D1B">
        <w:rPr>
          <w:rFonts w:ascii="Times New Roman" w:hAnsi="Times New Roman" w:cs="Times New Roman"/>
          <w:b/>
        </w:rPr>
        <w:t>обучающихся</w:t>
      </w:r>
      <w:proofErr w:type="gramEnd"/>
      <w:r w:rsidRPr="00653D1B">
        <w:rPr>
          <w:rFonts w:ascii="Times New Roman" w:hAnsi="Times New Roman" w:cs="Times New Roman"/>
          <w:b/>
        </w:rPr>
        <w:t xml:space="preserve"> Покровского СУВУ</w:t>
      </w:r>
    </w:p>
    <w:p w:rsidR="00653D1B" w:rsidRDefault="00653D1B" w:rsidP="009420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74C8FE3E" wp14:editId="5DCE91B3">
            <wp:extent cx="4238625" cy="29432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53D1B" w:rsidRDefault="009420E1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Полученные данные свидетельствуют о том, что для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Покровского СУВУ в большей степени характерен третий уровень мотивации учения, примерно равная выраженность позитивной и негативной мотивации, амбивалентное отношение к обучению. </w:t>
      </w:r>
    </w:p>
    <w:p w:rsidR="009420E1" w:rsidRDefault="009420E1" w:rsidP="00653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3A96" w:rsidRDefault="009420E1" w:rsidP="009420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20E1">
        <w:rPr>
          <w:rFonts w:ascii="Times New Roman" w:hAnsi="Times New Roman" w:cs="Times New Roman"/>
          <w:b/>
        </w:rPr>
        <w:t>Рис. 2 Диагностика мотивации учения и эмоционального отношения к учению</w:t>
      </w:r>
      <w:r>
        <w:rPr>
          <w:rFonts w:ascii="Times New Roman" w:hAnsi="Times New Roman" w:cs="Times New Roman"/>
          <w:b/>
        </w:rPr>
        <w:t xml:space="preserve"> </w:t>
      </w:r>
    </w:p>
    <w:p w:rsidR="009420E1" w:rsidRDefault="009420E1" w:rsidP="009420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(по классам, кол-во человек)</w:t>
      </w:r>
    </w:p>
    <w:p w:rsidR="009420E1" w:rsidRDefault="009420E1" w:rsidP="009420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9420E1" w:rsidRDefault="002C6F02" w:rsidP="009420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1EA6D754" wp14:editId="0B3FAD6F">
            <wp:extent cx="6153150" cy="33337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20E1" w:rsidRDefault="009420E1" w:rsidP="009420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9420E1" w:rsidRDefault="009420E1" w:rsidP="0094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представленной гистограммы видно, что продуктивная мотивация и положительное отношение к учению преобладает у обучающихся 10 класса. </w:t>
      </w:r>
      <w:r w:rsidR="00005A8F">
        <w:rPr>
          <w:rFonts w:ascii="Times New Roman" w:hAnsi="Times New Roman" w:cs="Times New Roman"/>
          <w:sz w:val="28"/>
        </w:rPr>
        <w:t xml:space="preserve">Примерно равная выраженность продуктивной мотивации в 9 «а» и 8 классах. Для обучающихся 6 и 7 классов характерно преобладание третьего и четвертого уровней мотивации. </w:t>
      </w:r>
    </w:p>
    <w:p w:rsidR="00005A8F" w:rsidRDefault="00005A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05A8F" w:rsidRDefault="00005A8F" w:rsidP="00EC3A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005A8F">
        <w:rPr>
          <w:rFonts w:ascii="Times New Roman" w:hAnsi="Times New Roman" w:cs="Times New Roman"/>
          <w:b/>
        </w:rPr>
        <w:lastRenderedPageBreak/>
        <w:t>Рис. 3 Соотношение познавательной активности и мотивации достижения на уроках</w:t>
      </w:r>
    </w:p>
    <w:p w:rsidR="00005A8F" w:rsidRDefault="00005A8F" w:rsidP="0094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05A8F" w:rsidRDefault="00005A8F" w:rsidP="0094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5FB72448" wp14:editId="2E51B830">
            <wp:extent cx="5105400" cy="33337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3A96" w:rsidRDefault="00EC3A96" w:rsidP="0094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рисунке 3 показано, что у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Покровского СУВУ преобладает высокий уровень познавательной активности. Мотивация </w:t>
      </w:r>
      <w:proofErr w:type="gramStart"/>
      <w:r>
        <w:rPr>
          <w:rFonts w:ascii="Times New Roman" w:hAnsi="Times New Roman" w:cs="Times New Roman"/>
          <w:sz w:val="28"/>
        </w:rPr>
        <w:t>достижения</w:t>
      </w:r>
      <w:proofErr w:type="gramEnd"/>
      <w:r>
        <w:rPr>
          <w:rFonts w:ascii="Times New Roman" w:hAnsi="Times New Roman" w:cs="Times New Roman"/>
          <w:sz w:val="28"/>
        </w:rPr>
        <w:t xml:space="preserve"> в общем по школе на среднем уровне.</w:t>
      </w:r>
    </w:p>
    <w:p w:rsidR="00EC3A96" w:rsidRDefault="00EC3A96" w:rsidP="0094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Отдельно по классам получены следующие показатели:</w:t>
      </w:r>
    </w:p>
    <w:p w:rsidR="00EC3A96" w:rsidRDefault="00EC3A96" w:rsidP="00EC3A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EC3A96">
        <w:rPr>
          <w:rFonts w:ascii="Times New Roman" w:hAnsi="Times New Roman" w:cs="Times New Roman"/>
          <w:b/>
        </w:rPr>
        <w:t>Рис.4 Показатели познавательной активности на уроках (по классам, кол-во человек)</w:t>
      </w:r>
    </w:p>
    <w:p w:rsidR="00EC3A96" w:rsidRDefault="00EC3A96" w:rsidP="009420E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F518CE3" wp14:editId="4D14AF6D">
            <wp:extent cx="4848225" cy="27908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3A96" w:rsidRDefault="00EC3A96" w:rsidP="0094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познавательной активности на уроках характерен для обучающихся 11, 9х, 7 классов. В 8 классе 50% высокий и 50% средний уровень.</w:t>
      </w:r>
    </w:p>
    <w:p w:rsidR="00EC3A96" w:rsidRDefault="00EC3A96" w:rsidP="00EC3A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EC3A96">
        <w:rPr>
          <w:rFonts w:ascii="Times New Roman" w:hAnsi="Times New Roman" w:cs="Times New Roman"/>
          <w:b/>
        </w:rPr>
        <w:lastRenderedPageBreak/>
        <w:t xml:space="preserve">Рис. 5 Показатели уровня мотивации достижения </w:t>
      </w:r>
      <w:proofErr w:type="gramStart"/>
      <w:r w:rsidRPr="00EC3A96">
        <w:rPr>
          <w:rFonts w:ascii="Times New Roman" w:hAnsi="Times New Roman" w:cs="Times New Roman"/>
          <w:b/>
        </w:rPr>
        <w:t>обучающихся</w:t>
      </w:r>
      <w:proofErr w:type="gramEnd"/>
    </w:p>
    <w:p w:rsidR="00EC3A96" w:rsidRDefault="00EC3A96" w:rsidP="00EC3A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EC3A96">
        <w:rPr>
          <w:rFonts w:ascii="Times New Roman" w:hAnsi="Times New Roman" w:cs="Times New Roman"/>
          <w:b/>
        </w:rPr>
        <w:t>(по классам, кол-</w:t>
      </w:r>
      <w:r w:rsidR="00A512B4">
        <w:rPr>
          <w:rFonts w:ascii="Times New Roman" w:hAnsi="Times New Roman" w:cs="Times New Roman"/>
          <w:b/>
        </w:rPr>
        <w:t>в</w:t>
      </w:r>
      <w:r w:rsidRPr="00EC3A96">
        <w:rPr>
          <w:rFonts w:ascii="Times New Roman" w:hAnsi="Times New Roman" w:cs="Times New Roman"/>
          <w:b/>
        </w:rPr>
        <w:t>о человек)</w:t>
      </w:r>
    </w:p>
    <w:p w:rsidR="00A26BC6" w:rsidRDefault="00A26BC6" w:rsidP="00EC3A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26BC6" w:rsidRDefault="00A26BC6" w:rsidP="00EC3A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D640D2C" wp14:editId="745B3E2A">
            <wp:extent cx="4791075" cy="27717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6BC6" w:rsidRDefault="00A26BC6" w:rsidP="00A26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гистограмме видно, что высокий уровень мотивации достижения преобладает в 8 классе. При этом 8й класс характеризуется и наличием низкого уровня мотивации у двоих обучающихся. </w:t>
      </w:r>
    </w:p>
    <w:p w:rsidR="002D17E2" w:rsidRDefault="009D7A71" w:rsidP="00A26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Мотивация школьников всегда непосредственно связана с эмоциональным компонентом в учебе. </w:t>
      </w:r>
      <w:r w:rsidR="002D17E2">
        <w:rPr>
          <w:rFonts w:ascii="Times New Roman" w:hAnsi="Times New Roman" w:cs="Times New Roman"/>
          <w:sz w:val="28"/>
        </w:rPr>
        <w:t xml:space="preserve">На гистограмме представлены результаты изучения школьной тревожности </w:t>
      </w:r>
      <w:proofErr w:type="gramStart"/>
      <w:r w:rsidR="002D17E2">
        <w:rPr>
          <w:rFonts w:ascii="Times New Roman" w:hAnsi="Times New Roman" w:cs="Times New Roman"/>
          <w:sz w:val="28"/>
        </w:rPr>
        <w:t>обучающихся</w:t>
      </w:r>
      <w:proofErr w:type="gramEnd"/>
      <w:r w:rsidR="002D17E2">
        <w:rPr>
          <w:rFonts w:ascii="Times New Roman" w:hAnsi="Times New Roman" w:cs="Times New Roman"/>
          <w:sz w:val="28"/>
        </w:rPr>
        <w:t xml:space="preserve"> СУВУ. </w:t>
      </w:r>
    </w:p>
    <w:p w:rsidR="002D17E2" w:rsidRDefault="002D17E2" w:rsidP="008C0EEF">
      <w:pPr>
        <w:jc w:val="center"/>
        <w:rPr>
          <w:rFonts w:ascii="Times New Roman" w:hAnsi="Times New Roman" w:cs="Times New Roman"/>
          <w:b/>
        </w:rPr>
      </w:pPr>
      <w:r w:rsidRPr="002D17E2">
        <w:rPr>
          <w:rFonts w:ascii="Times New Roman" w:hAnsi="Times New Roman" w:cs="Times New Roman"/>
          <w:b/>
        </w:rPr>
        <w:t xml:space="preserve">Рис. 6 Показатели уровня школьной тревожности и </w:t>
      </w:r>
      <w:proofErr w:type="gramStart"/>
      <w:r w:rsidRPr="002D17E2">
        <w:rPr>
          <w:rFonts w:ascii="Times New Roman" w:hAnsi="Times New Roman" w:cs="Times New Roman"/>
          <w:b/>
        </w:rPr>
        <w:t>гнева</w:t>
      </w:r>
      <w:proofErr w:type="gramEnd"/>
      <w:r w:rsidRPr="002D17E2">
        <w:rPr>
          <w:rFonts w:ascii="Times New Roman" w:hAnsi="Times New Roman" w:cs="Times New Roman"/>
          <w:b/>
        </w:rPr>
        <w:t xml:space="preserve"> обучающихся Покровского СУВУ</w:t>
      </w:r>
    </w:p>
    <w:p w:rsidR="002D17E2" w:rsidRPr="002D17E2" w:rsidRDefault="002D17E2" w:rsidP="002D17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4F1F90B6" wp14:editId="4D007E73">
            <wp:extent cx="4210050" cy="28289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17E2" w:rsidRDefault="002D17E2" w:rsidP="00A26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D7A71" w:rsidRDefault="009D7A71" w:rsidP="00A26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Изучение уровня школьной тревожности и гнева позволяет сделать вывод о том, что для большинства обучающихся (28 человек) характерен средний уровень школьной тревожности. Высокий уровень школьной тревожности характерен </w:t>
      </w:r>
      <w:r w:rsidR="002D17E2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 xml:space="preserve">11 </w:t>
      </w:r>
      <w:proofErr w:type="gramStart"/>
      <w:r>
        <w:rPr>
          <w:rFonts w:ascii="Times New Roman" w:hAnsi="Times New Roman" w:cs="Times New Roman"/>
          <w:sz w:val="28"/>
        </w:rPr>
        <w:t>обучающи</w:t>
      </w:r>
      <w:r w:rsidR="002D17E2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ся</w:t>
      </w:r>
      <w:proofErr w:type="gramEnd"/>
      <w:r>
        <w:rPr>
          <w:rFonts w:ascii="Times New Roman" w:hAnsi="Times New Roman" w:cs="Times New Roman"/>
          <w:sz w:val="28"/>
        </w:rPr>
        <w:t xml:space="preserve">. Высокий уровень тревожности </w:t>
      </w:r>
      <w:r w:rsidRPr="009D7A71">
        <w:rPr>
          <w:rFonts w:ascii="Times New Roman" w:hAnsi="Times New Roman" w:cs="Times New Roman"/>
          <w:sz w:val="28"/>
        </w:rPr>
        <w:t xml:space="preserve">говорит о повышенном беспокойстве, неуверенности, эмоциональной неустойчивости, такие </w:t>
      </w:r>
      <w:r>
        <w:rPr>
          <w:rFonts w:ascii="Times New Roman" w:hAnsi="Times New Roman" w:cs="Times New Roman"/>
          <w:sz w:val="28"/>
        </w:rPr>
        <w:t>обучающиеся</w:t>
      </w:r>
      <w:r w:rsidRPr="009D7A71">
        <w:rPr>
          <w:rFonts w:ascii="Times New Roman" w:hAnsi="Times New Roman" w:cs="Times New Roman"/>
          <w:sz w:val="28"/>
        </w:rPr>
        <w:t xml:space="preserve"> очень чувствительны к своим неудачам, склонны отказываться от той деятельности, в которой испытывают затруднения. На</w:t>
      </w:r>
      <w:r w:rsidR="002D17E2">
        <w:rPr>
          <w:rFonts w:ascii="Times New Roman" w:hAnsi="Times New Roman" w:cs="Times New Roman"/>
          <w:sz w:val="28"/>
        </w:rPr>
        <w:t xml:space="preserve"> занятиях они зажаты и напряжен</w:t>
      </w:r>
      <w:r w:rsidRPr="009D7A71">
        <w:rPr>
          <w:rFonts w:ascii="Times New Roman" w:hAnsi="Times New Roman" w:cs="Times New Roman"/>
          <w:sz w:val="28"/>
        </w:rPr>
        <w:t>ы, отвечают на вопросы уч</w:t>
      </w:r>
      <w:r>
        <w:rPr>
          <w:rFonts w:ascii="Times New Roman" w:hAnsi="Times New Roman" w:cs="Times New Roman"/>
          <w:sz w:val="28"/>
        </w:rPr>
        <w:t xml:space="preserve">ителя низким и глухим голосом. </w:t>
      </w:r>
    </w:p>
    <w:p w:rsidR="002D17E2" w:rsidRDefault="002D17E2" w:rsidP="008C0E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8C0EEF">
        <w:rPr>
          <w:rFonts w:ascii="Times New Roman" w:hAnsi="Times New Roman" w:cs="Times New Roman"/>
          <w:b/>
        </w:rPr>
        <w:t xml:space="preserve">Рис. 7 </w:t>
      </w:r>
      <w:r w:rsidR="008C0EEF" w:rsidRPr="008C0EEF">
        <w:rPr>
          <w:rFonts w:ascii="Times New Roman" w:hAnsi="Times New Roman" w:cs="Times New Roman"/>
          <w:b/>
        </w:rPr>
        <w:t>Высокий уровень школьной тревожности (по классам, кол-во человек)</w:t>
      </w:r>
    </w:p>
    <w:p w:rsidR="008C0EEF" w:rsidRDefault="008C0EEF" w:rsidP="008C0E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C0EEF" w:rsidRDefault="008C0EEF" w:rsidP="008C0E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7AF1A9D6" wp14:editId="34598AEC">
            <wp:extent cx="3781425" cy="25812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C0EEF" w:rsidRDefault="008C0EEF" w:rsidP="008C0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диаграммы видно, что высокий уровень школьной тревожности характерен </w:t>
      </w:r>
      <w:proofErr w:type="gramStart"/>
      <w:r>
        <w:rPr>
          <w:rFonts w:ascii="Times New Roman" w:hAnsi="Times New Roman" w:cs="Times New Roman"/>
          <w:sz w:val="28"/>
        </w:rPr>
        <w:t>для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во всех классах школы, кроме 11. </w:t>
      </w:r>
    </w:p>
    <w:p w:rsidR="008C0EEF" w:rsidRPr="008C0EEF" w:rsidRDefault="008C0EEF" w:rsidP="008C0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Некоторые исследователи отмечают взаимосвязь тревожности и мотивации деятельности, в том числе и учебной.</w:t>
      </w:r>
      <w:r w:rsidRPr="008C0EEF">
        <w:rPr>
          <w:rFonts w:ascii="Times New Roman" w:hAnsi="Times New Roman" w:cs="Times New Roman"/>
          <w:sz w:val="28"/>
        </w:rPr>
        <w:t xml:space="preserve"> Как отмечает Ф.Е. </w:t>
      </w:r>
      <w:proofErr w:type="spellStart"/>
      <w:r w:rsidRPr="008C0EEF">
        <w:rPr>
          <w:rFonts w:ascii="Times New Roman" w:hAnsi="Times New Roman" w:cs="Times New Roman"/>
          <w:sz w:val="28"/>
        </w:rPr>
        <w:t>Василюк</w:t>
      </w:r>
      <w:proofErr w:type="spellEnd"/>
      <w:r w:rsidRPr="008C0EEF">
        <w:rPr>
          <w:rFonts w:ascii="Times New Roman" w:hAnsi="Times New Roman" w:cs="Times New Roman"/>
          <w:sz w:val="28"/>
        </w:rPr>
        <w:t xml:space="preserve">, поведение </w:t>
      </w:r>
      <w:proofErr w:type="spellStart"/>
      <w:r w:rsidRPr="008C0EEF">
        <w:rPr>
          <w:rFonts w:ascii="Times New Roman" w:hAnsi="Times New Roman" w:cs="Times New Roman"/>
          <w:sz w:val="28"/>
        </w:rPr>
        <w:t>повышенно</w:t>
      </w:r>
      <w:proofErr w:type="spellEnd"/>
      <w:r w:rsidRPr="008C0EEF">
        <w:rPr>
          <w:rFonts w:ascii="Times New Roman" w:hAnsi="Times New Roman" w:cs="Times New Roman"/>
          <w:sz w:val="28"/>
        </w:rPr>
        <w:t xml:space="preserve"> тревожных людей в деятельности, направленной на достижение успехов, имеет следующие особенности:</w:t>
      </w:r>
    </w:p>
    <w:p w:rsidR="008C0EEF" w:rsidRPr="008C0EEF" w:rsidRDefault="008C0EEF" w:rsidP="008C0E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8C0EEF">
        <w:rPr>
          <w:rFonts w:ascii="Times New Roman" w:hAnsi="Times New Roman" w:cs="Times New Roman"/>
          <w:sz w:val="28"/>
        </w:rPr>
        <w:t>Высокотревожные</w:t>
      </w:r>
      <w:proofErr w:type="spellEnd"/>
      <w:r w:rsidRPr="008C0EEF">
        <w:rPr>
          <w:rFonts w:ascii="Times New Roman" w:hAnsi="Times New Roman" w:cs="Times New Roman"/>
          <w:sz w:val="28"/>
        </w:rPr>
        <w:t xml:space="preserve"> индивиды эмоционально острее, чем </w:t>
      </w:r>
      <w:proofErr w:type="spellStart"/>
      <w:r w:rsidRPr="008C0EEF">
        <w:rPr>
          <w:rFonts w:ascii="Times New Roman" w:hAnsi="Times New Roman" w:cs="Times New Roman"/>
          <w:sz w:val="28"/>
        </w:rPr>
        <w:t>низкотревожные</w:t>
      </w:r>
      <w:proofErr w:type="spellEnd"/>
      <w:r w:rsidRPr="008C0EEF">
        <w:rPr>
          <w:rFonts w:ascii="Times New Roman" w:hAnsi="Times New Roman" w:cs="Times New Roman"/>
          <w:sz w:val="28"/>
        </w:rPr>
        <w:t>, реагируют на сообщения о неудаче.</w:t>
      </w:r>
    </w:p>
    <w:p w:rsidR="008C0EEF" w:rsidRPr="008C0EEF" w:rsidRDefault="008C0EEF" w:rsidP="008C0E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8C0EEF">
        <w:rPr>
          <w:rFonts w:ascii="Times New Roman" w:hAnsi="Times New Roman" w:cs="Times New Roman"/>
          <w:sz w:val="28"/>
        </w:rPr>
        <w:t>Высокотревожные</w:t>
      </w:r>
      <w:proofErr w:type="spellEnd"/>
      <w:r w:rsidRPr="008C0EEF">
        <w:rPr>
          <w:rFonts w:ascii="Times New Roman" w:hAnsi="Times New Roman" w:cs="Times New Roman"/>
          <w:sz w:val="28"/>
        </w:rPr>
        <w:t xml:space="preserve"> люди хуже, чем </w:t>
      </w:r>
      <w:proofErr w:type="spellStart"/>
      <w:r w:rsidRPr="008C0EEF">
        <w:rPr>
          <w:rFonts w:ascii="Times New Roman" w:hAnsi="Times New Roman" w:cs="Times New Roman"/>
          <w:sz w:val="28"/>
        </w:rPr>
        <w:t>низкотревожные</w:t>
      </w:r>
      <w:proofErr w:type="spellEnd"/>
      <w:r w:rsidRPr="008C0EEF">
        <w:rPr>
          <w:rFonts w:ascii="Times New Roman" w:hAnsi="Times New Roman" w:cs="Times New Roman"/>
          <w:sz w:val="28"/>
        </w:rPr>
        <w:t>, работают в стрессовых ситуациях или в условиях дефицита времени, отведенного на решение задачи.</w:t>
      </w:r>
    </w:p>
    <w:p w:rsidR="008C0EEF" w:rsidRPr="008C0EEF" w:rsidRDefault="008C0EEF" w:rsidP="008C0E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C0EEF">
        <w:rPr>
          <w:rFonts w:ascii="Times New Roman" w:hAnsi="Times New Roman" w:cs="Times New Roman"/>
          <w:sz w:val="28"/>
        </w:rPr>
        <w:lastRenderedPageBreak/>
        <w:t xml:space="preserve">Боязнь неудачи - характерная черта </w:t>
      </w:r>
      <w:proofErr w:type="spellStart"/>
      <w:r w:rsidRPr="008C0EEF">
        <w:rPr>
          <w:rFonts w:ascii="Times New Roman" w:hAnsi="Times New Roman" w:cs="Times New Roman"/>
          <w:sz w:val="28"/>
        </w:rPr>
        <w:t>высокотревожных</w:t>
      </w:r>
      <w:proofErr w:type="spellEnd"/>
      <w:r w:rsidRPr="008C0EEF">
        <w:rPr>
          <w:rFonts w:ascii="Times New Roman" w:hAnsi="Times New Roman" w:cs="Times New Roman"/>
          <w:sz w:val="28"/>
        </w:rPr>
        <w:t xml:space="preserve"> людей. Эта боязнь у них доминирует над стремлением к достижению успеха.</w:t>
      </w:r>
    </w:p>
    <w:p w:rsidR="008C0EEF" w:rsidRPr="008C0EEF" w:rsidRDefault="008C0EEF" w:rsidP="008C0E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C0EEF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8C0EEF">
        <w:rPr>
          <w:rFonts w:ascii="Times New Roman" w:hAnsi="Times New Roman" w:cs="Times New Roman"/>
          <w:sz w:val="28"/>
        </w:rPr>
        <w:t>высокотревожных</w:t>
      </w:r>
      <w:proofErr w:type="spellEnd"/>
      <w:r w:rsidRPr="008C0EEF">
        <w:rPr>
          <w:rFonts w:ascii="Times New Roman" w:hAnsi="Times New Roman" w:cs="Times New Roman"/>
          <w:sz w:val="28"/>
        </w:rPr>
        <w:t xml:space="preserve"> людей большей стимулирующей силой обладает сообщение об успехе, чем о неудаче.</w:t>
      </w:r>
    </w:p>
    <w:p w:rsidR="008C0EEF" w:rsidRDefault="008C0EEF" w:rsidP="00A512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C0EEF">
        <w:rPr>
          <w:rFonts w:ascii="Times New Roman" w:hAnsi="Times New Roman" w:cs="Times New Roman"/>
          <w:sz w:val="28"/>
        </w:rPr>
        <w:t>Личностная тревожность предрасполагает индивида к восприятию и оценке многих, объективно безопасных ситуаций как таких, которые несут в себе угрозу.</w:t>
      </w:r>
    </w:p>
    <w:p w:rsidR="00A512B4" w:rsidRDefault="000640C0" w:rsidP="00A51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Учитывая результаты, полученные в ходе исследования, мы составили </w:t>
      </w:r>
      <w:r w:rsidRPr="00E349FB">
        <w:rPr>
          <w:rFonts w:ascii="Times New Roman" w:hAnsi="Times New Roman" w:cs="Times New Roman"/>
          <w:sz w:val="28"/>
          <w:u w:val="single"/>
        </w:rPr>
        <w:t>рекомендации для педагогов</w:t>
      </w:r>
      <w:r>
        <w:rPr>
          <w:rFonts w:ascii="Times New Roman" w:hAnsi="Times New Roman" w:cs="Times New Roman"/>
          <w:sz w:val="28"/>
        </w:rPr>
        <w:t xml:space="preserve"> для повышения уровня школьной мотивации обучающихся: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75B6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Классным руководителям необходимо получить у педагога-психолога списки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с низким уровнем мотивации, а также высоким уровнем тревожности;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75B6">
        <w:rPr>
          <w:rFonts w:ascii="Times New Roman" w:hAnsi="Times New Roman" w:cs="Times New Roman"/>
          <w:b/>
          <w:bCs/>
          <w:sz w:val="28"/>
        </w:rPr>
        <w:t>2. Помните</w:t>
      </w:r>
      <w:r w:rsidRPr="000640C0">
        <w:rPr>
          <w:rFonts w:ascii="Times New Roman" w:hAnsi="Times New Roman" w:cs="Times New Roman"/>
          <w:b/>
          <w:bCs/>
          <w:sz w:val="28"/>
        </w:rPr>
        <w:t xml:space="preserve">: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чем выше степень самоуважения, тем лучше результаты в учёбе;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успехи в учёбе являются катализатором учебного процесса;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неудачи в обучении могут привести к желанию прекратить учёбу;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чувство радости и интерес облегчает учение;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страх и напряжённость затрудняет процесс обучения.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75B6">
        <w:rPr>
          <w:rFonts w:ascii="Times New Roman" w:hAnsi="Times New Roman" w:cs="Times New Roman"/>
          <w:b/>
          <w:bCs/>
          <w:sz w:val="28"/>
        </w:rPr>
        <w:t>3.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0640C0">
        <w:rPr>
          <w:rFonts w:ascii="Times New Roman" w:hAnsi="Times New Roman" w:cs="Times New Roman"/>
          <w:b/>
          <w:bCs/>
          <w:sz w:val="28"/>
        </w:rPr>
        <w:t xml:space="preserve">Учитель не должен забывать: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поддерживать ровный стиль отношений между всеми учениками;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ободрять учащихся при возникновении у них трудностей;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поддерживать положительную обратную связь;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заботиться о разнообразии методов преподавания;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приучать обучаемых к напряжённому познавательному труду, развивать их настойчивость, силу воли, целеустремлённость;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поощрять выполнение заданий повышенной трудности; </w:t>
      </w:r>
    </w:p>
    <w:p w:rsidR="000640C0" w:rsidRP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формировать чувство долга, ответственности; </w:t>
      </w:r>
    </w:p>
    <w:p w:rsidR="000640C0" w:rsidRDefault="000640C0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40C0">
        <w:rPr>
          <w:rFonts w:ascii="Times New Roman" w:hAnsi="Times New Roman" w:cs="Times New Roman"/>
          <w:sz w:val="28"/>
        </w:rPr>
        <w:t xml:space="preserve"> учить предъявлять требования, прежде всего к самому себе. </w:t>
      </w:r>
    </w:p>
    <w:p w:rsidR="00954086" w:rsidRDefault="00954086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80C39" w:rsidRDefault="00980C39" w:rsidP="000640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675B6">
        <w:rPr>
          <w:rFonts w:ascii="Times New Roman" w:hAnsi="Times New Roman" w:cs="Times New Roman"/>
          <w:b/>
          <w:sz w:val="28"/>
        </w:rPr>
        <w:lastRenderedPageBreak/>
        <w:t xml:space="preserve">4. </w:t>
      </w:r>
      <w:r w:rsidR="00F675B6" w:rsidRPr="00F675B6">
        <w:rPr>
          <w:rFonts w:ascii="Times New Roman" w:hAnsi="Times New Roman" w:cs="Times New Roman"/>
          <w:b/>
          <w:sz w:val="28"/>
        </w:rPr>
        <w:t xml:space="preserve">Рекомендации по работе с </w:t>
      </w:r>
      <w:proofErr w:type="spellStart"/>
      <w:r w:rsidR="00F675B6" w:rsidRPr="00F675B6">
        <w:rPr>
          <w:rFonts w:ascii="Times New Roman" w:hAnsi="Times New Roman" w:cs="Times New Roman"/>
          <w:b/>
          <w:sz w:val="28"/>
        </w:rPr>
        <w:t>высокотревожными</w:t>
      </w:r>
      <w:proofErr w:type="spellEnd"/>
      <w:r w:rsidR="00F675B6" w:rsidRPr="00F675B6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F675B6" w:rsidRPr="00F675B6">
        <w:rPr>
          <w:rFonts w:ascii="Times New Roman" w:hAnsi="Times New Roman" w:cs="Times New Roman"/>
          <w:b/>
          <w:sz w:val="28"/>
        </w:rPr>
        <w:t>обучающимися</w:t>
      </w:r>
      <w:proofErr w:type="gramEnd"/>
      <w:r w:rsidR="00F675B6" w:rsidRPr="00F675B6">
        <w:rPr>
          <w:rFonts w:ascii="Times New Roman" w:hAnsi="Times New Roman" w:cs="Times New Roman"/>
          <w:b/>
          <w:sz w:val="28"/>
        </w:rPr>
        <w:t>:</w:t>
      </w:r>
    </w:p>
    <w:p w:rsidR="00F675B6" w:rsidRDefault="00F675B6" w:rsidP="00F675B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Педагогам-психологам провести коррекционные занятия, направленные на снятие тревожности у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F675B6" w:rsidRDefault="00E349FB" w:rsidP="00F675B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Педагогам в общении с </w:t>
      </w:r>
      <w:proofErr w:type="spellStart"/>
      <w:r>
        <w:rPr>
          <w:rFonts w:ascii="Times New Roman" w:hAnsi="Times New Roman" w:cs="Times New Roman"/>
          <w:sz w:val="28"/>
        </w:rPr>
        <w:t>высокотревожными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стараться избегать критических оценок, оценивать поступок, а не личность подростка, осуществлять индивидуальный подход в обучении и межличностном взаимодействии;</w:t>
      </w:r>
    </w:p>
    <w:p w:rsidR="00E349FB" w:rsidRPr="00E349FB" w:rsidRDefault="00E349FB" w:rsidP="00E349FB">
      <w:pPr>
        <w:pStyle w:val="a6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36"/>
        </w:rPr>
      </w:pPr>
      <w:r w:rsidRPr="00E349FB">
        <w:rPr>
          <w:rFonts w:ascii="Times New Roman" w:hAnsi="Times New Roman" w:cs="Times New Roman"/>
          <w:sz w:val="28"/>
        </w:rPr>
        <w:t xml:space="preserve">Помнить, что в приспособлении детей с высоким уровнем </w:t>
      </w:r>
      <w:bookmarkStart w:id="0" w:name="_GoBack"/>
      <w:bookmarkEnd w:id="0"/>
      <w:r w:rsidRPr="00E349FB">
        <w:rPr>
          <w:rFonts w:ascii="Times New Roman" w:hAnsi="Times New Roman" w:cs="Times New Roman"/>
          <w:sz w:val="28"/>
        </w:rPr>
        <w:t>тревожности большую роль играют эмоции. Такие дети могут хорошо учиться в условиях спокойной и доброжелательной атмосферы и, напротив, эти дети наименее успешны в ситуациях повышенного напряжения: в условиях ограниченного времени выполнения задания, при выполнении контрольных работ, при опросе, требующем немедленной ответной реакции.</w:t>
      </w:r>
    </w:p>
    <w:p w:rsidR="00980C39" w:rsidRPr="00980C39" w:rsidRDefault="00980C39" w:rsidP="00980C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0C39" w:rsidRPr="00980C39" w:rsidRDefault="00980C39" w:rsidP="00980C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b/>
          <w:bCs/>
          <w:sz w:val="28"/>
        </w:rPr>
        <w:t>ПАМЯТКА, ОПИС</w:t>
      </w:r>
      <w:r>
        <w:rPr>
          <w:rFonts w:ascii="Times New Roman" w:hAnsi="Times New Roman" w:cs="Times New Roman"/>
          <w:b/>
          <w:bCs/>
          <w:sz w:val="28"/>
        </w:rPr>
        <w:t>ЫВ</w:t>
      </w:r>
      <w:r w:rsidRPr="00980C39">
        <w:rPr>
          <w:rFonts w:ascii="Times New Roman" w:hAnsi="Times New Roman" w:cs="Times New Roman"/>
          <w:b/>
          <w:bCs/>
          <w:sz w:val="28"/>
        </w:rPr>
        <w:t>АЮЩАЯ ОПРЕДЕЛЕННЫЕ МЕТОДЫ И ПРИЕМЫ, ОКАЗЫВАЮЩИЕ ВЛИЯНИЕ НА МОТИВАЦИЮ УЧЕНИКА И ЕЕ РАЗВИТИЕ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b/>
          <w:bCs/>
          <w:sz w:val="28"/>
        </w:rPr>
        <w:t xml:space="preserve">Прием «Я знаю, что».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sz w:val="28"/>
        </w:rPr>
        <w:t xml:space="preserve">Создание ситуации успеха позволяет мотивировать учащихся на активную работу во время урока. Предложите учащимся во время фронтального опроса отвечать, начиная словами: "Я знаю, что...". Данный прием способствует росту уверенности учащихся в своих силах, умениях.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b/>
          <w:bCs/>
          <w:sz w:val="28"/>
        </w:rPr>
        <w:t xml:space="preserve">Прием </w:t>
      </w:r>
      <w:r>
        <w:rPr>
          <w:rFonts w:ascii="Times New Roman" w:hAnsi="Times New Roman" w:cs="Times New Roman"/>
          <w:b/>
          <w:bCs/>
          <w:sz w:val="28"/>
        </w:rPr>
        <w:t>«</w:t>
      </w:r>
      <w:r w:rsidRPr="00980C39">
        <w:rPr>
          <w:rFonts w:ascii="Times New Roman" w:hAnsi="Times New Roman" w:cs="Times New Roman"/>
          <w:b/>
          <w:bCs/>
          <w:sz w:val="28"/>
        </w:rPr>
        <w:t>Линия времени</w:t>
      </w:r>
      <w:r>
        <w:rPr>
          <w:rFonts w:ascii="Times New Roman" w:hAnsi="Times New Roman" w:cs="Times New Roman"/>
          <w:b/>
          <w:bCs/>
          <w:sz w:val="28"/>
        </w:rPr>
        <w:t>»</w:t>
      </w:r>
      <w:r w:rsidRPr="00980C39">
        <w:rPr>
          <w:rFonts w:ascii="Times New Roman" w:hAnsi="Times New Roman" w:cs="Times New Roman"/>
          <w:b/>
          <w:bCs/>
          <w:sz w:val="28"/>
        </w:rPr>
        <w:t xml:space="preserve">.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sz w:val="28"/>
        </w:rPr>
        <w:t xml:space="preserve">Начертите на доске, на которой необходимо обозначить этапы изучения темы, формы контроля. Проговорить о самых важных периодах, требующих от учащихся стопроцентной самоотдачи, вместе найдите уроки, на которых можно </w:t>
      </w:r>
      <w:r>
        <w:rPr>
          <w:rFonts w:ascii="Times New Roman" w:hAnsi="Times New Roman" w:cs="Times New Roman"/>
          <w:sz w:val="28"/>
        </w:rPr>
        <w:t>«</w:t>
      </w:r>
      <w:r w:rsidRPr="00980C39">
        <w:rPr>
          <w:rFonts w:ascii="Times New Roman" w:hAnsi="Times New Roman" w:cs="Times New Roman"/>
          <w:sz w:val="28"/>
        </w:rPr>
        <w:t>передохнуть</w:t>
      </w:r>
      <w:r>
        <w:rPr>
          <w:rFonts w:ascii="Times New Roman" w:hAnsi="Times New Roman" w:cs="Times New Roman"/>
          <w:sz w:val="28"/>
        </w:rPr>
        <w:t>»</w:t>
      </w:r>
      <w:r w:rsidRPr="00980C3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«</w:t>
      </w:r>
      <w:r w:rsidRPr="00980C39">
        <w:rPr>
          <w:rFonts w:ascii="Times New Roman" w:hAnsi="Times New Roman" w:cs="Times New Roman"/>
          <w:sz w:val="28"/>
        </w:rPr>
        <w:t>Линия времени</w:t>
      </w:r>
      <w:r>
        <w:rPr>
          <w:rFonts w:ascii="Times New Roman" w:hAnsi="Times New Roman" w:cs="Times New Roman"/>
          <w:sz w:val="28"/>
        </w:rPr>
        <w:t>»</w:t>
      </w:r>
      <w:r w:rsidRPr="00980C39">
        <w:rPr>
          <w:rFonts w:ascii="Times New Roman" w:hAnsi="Times New Roman" w:cs="Times New Roman"/>
          <w:sz w:val="28"/>
        </w:rPr>
        <w:t xml:space="preserve"> позволяет учащимся увидеть, что именно может являться конечным продуктом изучения темы, что нужно знать и уметь для успешного усвоения каждой последующей темы.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b/>
          <w:bCs/>
          <w:sz w:val="28"/>
        </w:rPr>
        <w:lastRenderedPageBreak/>
        <w:t xml:space="preserve">Прием </w:t>
      </w:r>
      <w:r>
        <w:rPr>
          <w:rFonts w:ascii="Times New Roman" w:hAnsi="Times New Roman" w:cs="Times New Roman"/>
          <w:b/>
          <w:bCs/>
          <w:sz w:val="28"/>
        </w:rPr>
        <w:t>«</w:t>
      </w:r>
      <w:r w:rsidRPr="00980C39">
        <w:rPr>
          <w:rFonts w:ascii="Times New Roman" w:hAnsi="Times New Roman" w:cs="Times New Roman"/>
          <w:b/>
          <w:bCs/>
          <w:sz w:val="28"/>
        </w:rPr>
        <w:t>Оценка - не отметка</w:t>
      </w:r>
      <w:r>
        <w:rPr>
          <w:rFonts w:ascii="Times New Roman" w:hAnsi="Times New Roman" w:cs="Times New Roman"/>
          <w:b/>
          <w:bCs/>
          <w:sz w:val="28"/>
        </w:rPr>
        <w:t>»</w:t>
      </w:r>
      <w:r w:rsidRPr="00980C39">
        <w:rPr>
          <w:rFonts w:ascii="Times New Roman" w:hAnsi="Times New Roman" w:cs="Times New Roman"/>
          <w:b/>
          <w:bCs/>
          <w:sz w:val="28"/>
        </w:rPr>
        <w:t xml:space="preserve">.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sz w:val="28"/>
        </w:rPr>
        <w:t xml:space="preserve">Отмечаете вслух или жестом каждый успех ученика. Главная цель оценки - стимулировать познание. Не забывайте, что детям нужен успех. Степень успешности во многом определяет отношение к миру, самочувствие, желание работать, узнавать новое.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b/>
          <w:bCs/>
          <w:sz w:val="28"/>
        </w:rPr>
        <w:t xml:space="preserve">Прием </w:t>
      </w:r>
      <w:r>
        <w:rPr>
          <w:rFonts w:ascii="Times New Roman" w:hAnsi="Times New Roman" w:cs="Times New Roman"/>
          <w:b/>
          <w:bCs/>
          <w:sz w:val="28"/>
        </w:rPr>
        <w:t>«</w:t>
      </w:r>
      <w:r w:rsidRPr="00980C39">
        <w:rPr>
          <w:rFonts w:ascii="Times New Roman" w:hAnsi="Times New Roman" w:cs="Times New Roman"/>
          <w:b/>
          <w:bCs/>
          <w:sz w:val="28"/>
        </w:rPr>
        <w:t>Автор</w:t>
      </w:r>
      <w:r>
        <w:rPr>
          <w:rFonts w:ascii="Times New Roman" w:hAnsi="Times New Roman" w:cs="Times New Roman"/>
          <w:b/>
          <w:bCs/>
          <w:sz w:val="28"/>
        </w:rPr>
        <w:t>»</w:t>
      </w:r>
      <w:r w:rsidRPr="00980C39">
        <w:rPr>
          <w:rFonts w:ascii="Times New Roman" w:hAnsi="Times New Roman" w:cs="Times New Roman"/>
          <w:b/>
          <w:bCs/>
          <w:sz w:val="28"/>
        </w:rPr>
        <w:t xml:space="preserve">.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sz w:val="28"/>
        </w:rPr>
        <w:t xml:space="preserve">Задаете ученикам следующие вопросы: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sz w:val="28"/>
        </w:rPr>
        <w:t xml:space="preserve">Если бы вы были автором учебника, как бы вы объяснили ученикам эту тему?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sz w:val="28"/>
        </w:rPr>
        <w:t xml:space="preserve">Если бы вы были автором учебника, как бы вы объяснили ученикам необходимость изучения этой темы? </w:t>
      </w:r>
    </w:p>
    <w:p w:rsidR="00980C39" w:rsidRPr="00980C39" w:rsidRDefault="00980C39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C39">
        <w:rPr>
          <w:rFonts w:ascii="Times New Roman" w:hAnsi="Times New Roman" w:cs="Times New Roman"/>
          <w:sz w:val="28"/>
        </w:rPr>
        <w:t xml:space="preserve">Если бы вы были художником-иллюстратором, как бы вы… </w:t>
      </w:r>
    </w:p>
    <w:p w:rsidR="000640C0" w:rsidRPr="00A512B4" w:rsidRDefault="000640C0" w:rsidP="00980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0640C0" w:rsidRPr="00A512B4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4D33"/>
    <w:multiLevelType w:val="multilevel"/>
    <w:tmpl w:val="BE28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F1DEF"/>
    <w:multiLevelType w:val="hybridMultilevel"/>
    <w:tmpl w:val="188C1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6D"/>
    <w:rsid w:val="00005A8F"/>
    <w:rsid w:val="000640C0"/>
    <w:rsid w:val="000E746D"/>
    <w:rsid w:val="000F550A"/>
    <w:rsid w:val="002C6F02"/>
    <w:rsid w:val="002D17E2"/>
    <w:rsid w:val="00350317"/>
    <w:rsid w:val="00640066"/>
    <w:rsid w:val="00653D1B"/>
    <w:rsid w:val="007E0598"/>
    <w:rsid w:val="007F1142"/>
    <w:rsid w:val="008C0EEF"/>
    <w:rsid w:val="00920939"/>
    <w:rsid w:val="009420E1"/>
    <w:rsid w:val="00954086"/>
    <w:rsid w:val="00980C39"/>
    <w:rsid w:val="009D14A2"/>
    <w:rsid w:val="009D7A71"/>
    <w:rsid w:val="00A26BC6"/>
    <w:rsid w:val="00A512B4"/>
    <w:rsid w:val="00CF7F6F"/>
    <w:rsid w:val="00E349FB"/>
    <w:rsid w:val="00EC3A96"/>
    <w:rsid w:val="00F228EC"/>
    <w:rsid w:val="00F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400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5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D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0EEF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7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400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5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D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0EEF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87;&#1077;&#1076;&#1089;&#1086;&#1074;&#1077;&#1090;.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87;&#1077;&#1076;&#1089;&#1086;&#1074;&#1077;&#1090;.&#1076;&#1080;&#1072;&#1075;&#1088;&#1072;&#1084;&#1084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delete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Лист1!$A$3:$A$7</c:f>
              <c:strCache>
                <c:ptCount val="5"/>
                <c:pt idx="0">
                  <c:v>I уровень</c:v>
                </c:pt>
                <c:pt idx="1">
                  <c:v>II уровень</c:v>
                </c:pt>
                <c:pt idx="2">
                  <c:v>III уровень</c:v>
                </c:pt>
                <c:pt idx="3">
                  <c:v>IV уровень</c:v>
                </c:pt>
                <c:pt idx="4">
                  <c:v>V уровень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0</c:v>
                </c:pt>
                <c:pt idx="1">
                  <c:v>12</c:v>
                </c:pt>
                <c:pt idx="2">
                  <c:v>19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Лист1!$A$25</c:f>
              <c:strCache>
                <c:ptCount val="1"/>
                <c:pt idx="0">
                  <c:v>I уровень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Лист1!$B$24:$H$24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Лист1!$B$25:$H$25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Лист1!$A$26</c:f>
              <c:strCache>
                <c:ptCount val="1"/>
                <c:pt idx="0">
                  <c:v>II уровень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Лист1!$B$24:$H$24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Лист1!$B$26:$H$26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Лист1!$A$27</c:f>
              <c:strCache>
                <c:ptCount val="1"/>
                <c:pt idx="0">
                  <c:v>III уровень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Лист1!$B$24:$H$24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Лист1!$B$27:$H$27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5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Лист1!$A$28</c:f>
              <c:strCache>
                <c:ptCount val="1"/>
                <c:pt idx="0">
                  <c:v>IV уровень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Лист1!$B$24:$H$24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Лист1!$B$28:$H$28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Лист1!$A$29</c:f>
              <c:strCache>
                <c:ptCount val="1"/>
                <c:pt idx="0">
                  <c:v>V уровень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Лист1!$B$24:$H$24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Лист1!$B$29:$H$29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189504"/>
        <c:axId val="35191040"/>
        <c:axId val="0"/>
      </c:bar3DChart>
      <c:catAx>
        <c:axId val="351895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5191040"/>
        <c:crosses val="autoZero"/>
        <c:auto val="1"/>
        <c:lblAlgn val="ctr"/>
        <c:lblOffset val="100"/>
        <c:noMultiLvlLbl val="0"/>
      </c:catAx>
      <c:valAx>
        <c:axId val="35191040"/>
        <c:scaling>
          <c:orientation val="minMax"/>
          <c:max val="5"/>
          <c:min val="0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35189504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85261577719451731"/>
          <c:y val="0.42581471958862283"/>
          <c:w val="0.14738422280548263"/>
          <c:h val="0.28850634742085812"/>
        </c:manualLayout>
      </c:layout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Лист1!$B$52</c:f>
              <c:strCache>
                <c:ptCount val="1"/>
                <c:pt idx="0">
                  <c:v>познавательная активность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Лист1!$A$53:$A$55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Лист1!$B$53:$B$55</c:f>
              <c:numCache>
                <c:formatCode>General</c:formatCode>
                <c:ptCount val="3"/>
                <c:pt idx="0">
                  <c:v>26</c:v>
                </c:pt>
                <c:pt idx="1">
                  <c:v>16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Лист1!$C$52</c:f>
              <c:strCache>
                <c:ptCount val="1"/>
                <c:pt idx="0">
                  <c:v>мотивация достижения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944983818770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Лист1!$A$53:$A$55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Лист1!$C$53:$C$55</c:f>
              <c:numCache>
                <c:formatCode>General</c:formatCode>
                <c:ptCount val="3"/>
                <c:pt idx="0">
                  <c:v>17</c:v>
                </c:pt>
                <c:pt idx="1">
                  <c:v>25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7429632"/>
        <c:axId val="148045824"/>
        <c:axId val="0"/>
      </c:bar3DChart>
      <c:catAx>
        <c:axId val="1474296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045824"/>
        <c:crosses val="autoZero"/>
        <c:auto val="1"/>
        <c:lblAlgn val="ctr"/>
        <c:lblOffset val="100"/>
        <c:noMultiLvlLbl val="0"/>
      </c:catAx>
      <c:valAx>
        <c:axId val="148045824"/>
        <c:scaling>
          <c:orientation val="minMax"/>
          <c:max val="45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742963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Лист1!$A$92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Лист1!$B$91:$H$91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Лист1!$B$92:$H$92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Лист1!$A$93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Лист1!$B$91:$H$91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Лист1!$B$93:$H$93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Лист1!$A$94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Лист1!$B$91:$H$91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Лист1!$B$94:$H$94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060800"/>
        <c:axId val="148066688"/>
        <c:axId val="0"/>
      </c:bar3DChart>
      <c:catAx>
        <c:axId val="14806080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066688"/>
        <c:crosses val="autoZero"/>
        <c:auto val="1"/>
        <c:lblAlgn val="ctr"/>
        <c:lblOffset val="100"/>
        <c:noMultiLvlLbl val="0"/>
      </c:catAx>
      <c:valAx>
        <c:axId val="148066688"/>
        <c:scaling>
          <c:orientation val="minMax"/>
          <c:max val="1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806080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Лист1!$A$104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Лист1!$B$103:$H$103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Лист1!$B$104:$H$104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5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Лист1!$A$105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Лист1!$B$103:$H$103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Лист1!$B$105:$H$105</c:f>
              <c:numCache>
                <c:formatCode>General</c:formatCode>
                <c:ptCount val="7"/>
                <c:pt idx="0">
                  <c:v>1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Лист1!$A$106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Лист1!$B$103:$H$103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Лист1!$B$106:$H$106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9685632"/>
        <c:axId val="159691520"/>
        <c:axId val="0"/>
      </c:bar3DChart>
      <c:catAx>
        <c:axId val="1596856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691520"/>
        <c:crosses val="autoZero"/>
        <c:auto val="1"/>
        <c:lblAlgn val="ctr"/>
        <c:lblOffset val="100"/>
        <c:noMultiLvlLbl val="0"/>
      </c:catAx>
      <c:valAx>
        <c:axId val="159691520"/>
        <c:scaling>
          <c:orientation val="minMax"/>
          <c:max val="1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68563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Лист1!$B$58</c:f>
              <c:strCache>
                <c:ptCount val="1"/>
                <c:pt idx="0">
                  <c:v>тревожность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Лист1!$A$59:$A$61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Лист1!$B$59:$B$61</c:f>
              <c:numCache>
                <c:formatCode>General</c:formatCode>
                <c:ptCount val="3"/>
                <c:pt idx="0">
                  <c:v>11</c:v>
                </c:pt>
                <c:pt idx="1">
                  <c:v>28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Лист1!$C$58</c:f>
              <c:strCache>
                <c:ptCount val="1"/>
                <c:pt idx="0">
                  <c:v>гнев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Лист1!$A$59:$A$61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Лист1!$C$59:$C$61</c:f>
              <c:numCache>
                <c:formatCode>General</c:formatCode>
                <c:ptCount val="3"/>
                <c:pt idx="0">
                  <c:v>13</c:v>
                </c:pt>
                <c:pt idx="1">
                  <c:v>18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0000256"/>
        <c:axId val="160026624"/>
        <c:axId val="0"/>
      </c:bar3DChart>
      <c:catAx>
        <c:axId val="1600002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0026624"/>
        <c:crosses val="autoZero"/>
        <c:auto val="1"/>
        <c:lblAlgn val="ctr"/>
        <c:lblOffset val="100"/>
        <c:noMultiLvlLbl val="0"/>
      </c:catAx>
      <c:valAx>
        <c:axId val="160026624"/>
        <c:scaling>
          <c:orientation val="minMax"/>
          <c:max val="45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00002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Лист1!$A$112</c:f>
              <c:strCache>
                <c:ptCount val="1"/>
                <c:pt idx="0">
                  <c:v>высокий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Лист1!$B$111:$H$111</c:f>
              <c:strCache>
                <c:ptCount val="7"/>
                <c:pt idx="0">
                  <c:v>11 класс</c:v>
                </c:pt>
                <c:pt idx="1">
                  <c:v>10 класс</c:v>
                </c:pt>
                <c:pt idx="2">
                  <c:v>9 "а" класс</c:v>
                </c:pt>
                <c:pt idx="3">
                  <c:v>9 "б" класс</c:v>
                </c:pt>
                <c:pt idx="4">
                  <c:v>8 класс</c:v>
                </c:pt>
                <c:pt idx="5">
                  <c:v>7 класс</c:v>
                </c:pt>
                <c:pt idx="6">
                  <c:v>6 класс</c:v>
                </c:pt>
              </c:strCache>
            </c:strRef>
          </c:cat>
          <c:val>
            <c:numRef>
              <c:f>Лист1!$B$112:$H$112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2017-02-24T11:10:00Z</dcterms:created>
  <dcterms:modified xsi:type="dcterms:W3CDTF">2017-02-27T21:02:00Z</dcterms:modified>
</cp:coreProperties>
</file>