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91F" w:rsidRDefault="006C191F" w:rsidP="006C19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в тестовой форме с выбором одного правильного ответа</w:t>
      </w:r>
    </w:p>
    <w:p w:rsidR="006C191F" w:rsidRDefault="006C191F" w:rsidP="006C19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теме «Возрастные периоды. Рост и разви</w:t>
      </w:r>
      <w:r w:rsidR="00D82394">
        <w:rPr>
          <w:sz w:val="28"/>
          <w:szCs w:val="28"/>
        </w:rPr>
        <w:t>тие. Перинатальная патология центральной нервной системы</w:t>
      </w:r>
      <w:r>
        <w:rPr>
          <w:sz w:val="28"/>
          <w:szCs w:val="28"/>
        </w:rPr>
        <w:t>»</w:t>
      </w:r>
    </w:p>
    <w:p w:rsidR="006C191F" w:rsidRDefault="006C191F" w:rsidP="006C191F">
      <w:pPr>
        <w:rPr>
          <w:sz w:val="28"/>
          <w:szCs w:val="28"/>
        </w:rPr>
      </w:pPr>
    </w:p>
    <w:p w:rsidR="006C191F" w:rsidRDefault="006C191F" w:rsidP="006C191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какой недели внутриутробного развития начинается перинатальный период?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а) 33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б) 35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в) 26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г) 28</w:t>
      </w:r>
    </w:p>
    <w:p w:rsidR="006C191F" w:rsidRDefault="006C191F" w:rsidP="006C191F">
      <w:pPr>
        <w:pStyle w:val="Standard"/>
        <w:rPr>
          <w:sz w:val="28"/>
          <w:szCs w:val="28"/>
        </w:rPr>
      </w:pPr>
    </w:p>
    <w:p w:rsidR="006C191F" w:rsidRDefault="006C191F" w:rsidP="006C191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какой неделе внеутробного развития завершается перинатальный период?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а) до окончания первой недели внеутробной жизни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б) до окончания второй недели внеутробной жизни</w:t>
      </w:r>
    </w:p>
    <w:p w:rsidR="006C191F" w:rsidRDefault="006C191F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в) до окончания первого месяца внеутробной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до окончания второго месяца внеутробной жизни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Продолжительность периода новорожденности: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первые четыре недели после родов, т.е. первые 28 дней внеутробной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первая неделя после родов, т. е. первые 7 дней внеутробной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первые две недели после родов, т. е. первые 14 дней внеутробной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первые 2-4 часа после родов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На сколько периодов может быть разделен перинатальный период?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3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4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5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2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Перечислите на какие периоды может быть разделен перинатальный период: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Укажите сроки продолжительности позднего антенатального (фетального) периода: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с 28й по 40ю неделю внутриутробного развития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с 26й по 38ю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с 24й по 36ю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с 22й по 34ю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 Когда начинается интранатальный период?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с начала родовой деятельности до рождения ребенка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lastRenderedPageBreak/>
        <w:t>б) с 38й недели внутриутробного развития по первые сутки после рождения ребенка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с момента рождения по 5-7 сутки периода новорожденности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с момента выписки из родильного дома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Продолжительность раннего неонатального периода: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первая неделя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первые две недели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первые сутки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первые два часа жизни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Продолжительность неонатального периода: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начинается после рождения плода и ограничивается первыми четырьмя неделями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начинается после рождения и ограничивается первыми двумя часами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начинается после рождения и ограничивается первой неделей жизни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начинается после рождения и ограничивается первым полугодием жизни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На какие периоды подразделяется неонатальный период: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ранний и поздний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суточный и дневной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дневной и ночной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Укажите признаки живорождения: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самостоятельное дыхание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сердцебиение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пульсация пуповины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произвольные движения мускулатуры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При наличии скольких признаков живорождения означает необходимость в проведении реанимации: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одного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двух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трех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ни одного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 Как подразделяется масса тела ребенка при рождении?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низкая масса тела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очень низкая масса тела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умеренная масса тела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экстремально низкая масса тела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Низкая масса тела при рождении — ребенок любого срока гестации, имеющий при рождении массу тела менее: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2500г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lastRenderedPageBreak/>
        <w:t>б) 3500г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2000г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3000г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При каком сроке беременности родившийся ребенок считается доношенным?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38-42 недели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36-40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34-38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32-36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Очень низкая масса тела при рождении — ребенок любого срока гестации, имеющий при рождении массу тела менее: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1500г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1000г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2500г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2000г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При каком сроке беременности родившийся ребенок считается недоношенным: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37 недель и менее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38 недель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40 недель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42 недели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Экстремально низкая масса тела при рождении — ребенок любого срока гестации, имеющий при рождении массу тела менее: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1000г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1500г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800г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500г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При каком сроке беременности родившийся ребенок считается переношенным: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42 недели и более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38 недель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40 недель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41 неделя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На какие сутки наблюдается максимальная убыль массы тела: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на 3-4 сутки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на 1-2 сутки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 5-6 сутки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на 7-10 сутки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 xml:space="preserve">Допустимые колебания максимальной убыли массы тела у доношенных </w:t>
      </w:r>
      <w:r>
        <w:rPr>
          <w:sz w:val="28"/>
          <w:szCs w:val="28"/>
        </w:rPr>
        <w:lastRenderedPageBreak/>
        <w:t>составляют: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3-10%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1-2%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13-15%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20%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Укажите морфологический признак переношенности: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маленькие ушные раковины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сухость кожи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наличие грудного кифоза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неравномерно расположенные соски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Допустимые колебания максимальной убыли массы тела у недоношенных составляют: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до 12%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до 15%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до 18%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до 21%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Восстановление массы тела после ее убыли происходит: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к 6-8 суткам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к 9-11 суткам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к концу второй недели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к концу третьей недели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Укажите морфологический признак переношенности: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шелушение кожи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неравномерно расположенные углы лопаток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наличие шейного лордоза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наличие молочных зубов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У недоношенного новорожденного отмечается: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громкий крик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мышечный гипертонус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мышечная гипотония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спонтанная двигательная активность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Причина развития геморрагического синдрома у недоношенного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высокое содержание билирубина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низкое содержание билирубина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высокое содержание протромбина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низкое содержание протромбина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Ядерная желтуха у новорожденного обусловлена высоким содержанием в крови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белка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lastRenderedPageBreak/>
        <w:t>б) билирубина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глюкозы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холестерина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Купание здоровых недоношенных начинают с возраста (нед</w:t>
      </w:r>
      <w:r w:rsidR="00D82394">
        <w:rPr>
          <w:sz w:val="28"/>
          <w:szCs w:val="28"/>
        </w:rPr>
        <w:t>ели</w:t>
      </w:r>
      <w:r>
        <w:rPr>
          <w:sz w:val="28"/>
          <w:szCs w:val="28"/>
        </w:rPr>
        <w:t>):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1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2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3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4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Укажите морфол</w:t>
      </w:r>
      <w:r w:rsidR="00D82394">
        <w:rPr>
          <w:sz w:val="28"/>
          <w:szCs w:val="28"/>
        </w:rPr>
        <w:t>огический признак переношенного ребенка</w:t>
      </w:r>
      <w:r>
        <w:rPr>
          <w:sz w:val="28"/>
          <w:szCs w:val="28"/>
        </w:rPr>
        <w:t>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закрытый большой родничок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мацерация кожи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наличие поясничного лордоза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длинные ногти на руках и ногах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Родовая опухоль — это: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транзиторное (пограничное) состояние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генетическая аномалия</w:t>
      </w:r>
    </w:p>
    <w:p w:rsidR="006C191F" w:rsidRDefault="00D82394" w:rsidP="006C191F">
      <w:pPr>
        <w:pStyle w:val="Standard"/>
      </w:pPr>
      <w:r>
        <w:rPr>
          <w:sz w:val="28"/>
          <w:szCs w:val="28"/>
        </w:rPr>
        <w:t>в) сомати</w:t>
      </w:r>
      <w:r w:rsidR="006C191F">
        <w:rPr>
          <w:sz w:val="28"/>
          <w:szCs w:val="28"/>
        </w:rPr>
        <w:t>ческое заболевание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онкологическая патология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Критерий перевода недоношенного с зондового кормления на кормление из бутылочки: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появление сосательного рефлекса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прибавка массы тела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 xml:space="preserve">в) увеличение </w:t>
      </w:r>
      <w:r w:rsidR="00D82394">
        <w:rPr>
          <w:sz w:val="28"/>
          <w:szCs w:val="28"/>
        </w:rPr>
        <w:t xml:space="preserve">жировых </w:t>
      </w:r>
      <w:r>
        <w:rPr>
          <w:sz w:val="28"/>
          <w:szCs w:val="28"/>
        </w:rPr>
        <w:t xml:space="preserve">комочков </w:t>
      </w:r>
      <w:r w:rsidR="00D82394">
        <w:rPr>
          <w:sz w:val="28"/>
          <w:szCs w:val="28"/>
        </w:rPr>
        <w:t>в толще щек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исчезновение физиологической диспепсии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Идеальной пищей для недоношенных является: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«Бона»</w:t>
      </w:r>
    </w:p>
    <w:p w:rsidR="00D82394" w:rsidRDefault="00D82394" w:rsidP="006C191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б) манная каша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цельный кефир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грудное молоко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Основная причина родовой травмы ЦНС у детей: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гипоксия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гиперкапния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гипопротеинемия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гипергликемия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Непосредственно к возникновению родовой травмы у детей приводит: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несоответствие размеров головки плода и таза матери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хромосомное нарушение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нарушение белкового обмена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гипергликемия</w:t>
      </w: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lastRenderedPageBreak/>
        <w:t>Родовая опухоль — это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отек предлежащей части из-за венозной гиперемии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кровоизлияние под надкостницу какой-либо кости свода черепа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локализованная онкологическая патология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черепно-мозговая грыжа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Лечение родовой опухоли: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пункция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давящая повязка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лечение не требуется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назначение лекарственных средств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Наружная кефалогематома — это кровоизлияние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в мягкие ткани головы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над твердой мозговой оболочкой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под твердой мозговой оболочкой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под надкостницу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Для уменьшения отека мозга при родовых травмах ЦНС используют: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гепарин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полиглюкин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фуросемид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преднизолон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 xml:space="preserve">Отличие родовой травмы от кефалогематомы 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</w:t>
      </w:r>
      <w:r w:rsidR="00D82394" w:rsidRPr="00D82394">
        <w:rPr>
          <w:sz w:val="28"/>
          <w:szCs w:val="28"/>
        </w:rPr>
        <w:t xml:space="preserve"> </w:t>
      </w:r>
      <w:r w:rsidR="00D82394">
        <w:rPr>
          <w:sz w:val="28"/>
          <w:szCs w:val="28"/>
        </w:rPr>
        <w:t>отек предлежащей части из-за венозной гиперемии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</w:t>
      </w:r>
      <w:r w:rsidR="00B97A65" w:rsidRPr="00B97A65">
        <w:rPr>
          <w:sz w:val="28"/>
          <w:szCs w:val="28"/>
        </w:rPr>
        <w:t xml:space="preserve"> </w:t>
      </w:r>
      <w:r w:rsidR="00B97A65">
        <w:rPr>
          <w:sz w:val="28"/>
          <w:szCs w:val="28"/>
        </w:rPr>
        <w:t>кровоизлияние под надкостницу какой-либо кости свода черепа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Лечение кефалогематомы: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однократное в/м введение викасола; пункция на 5е сутки, давящая повязка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оперативное вмешательство путем иссечения увеличенного участка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удаление надкостницы, под которую произошло кровоизлияние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лечение не требуется, т. к. проходит самостоятельно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Для поддержания сердечной деятельности у ребенка с родовой травмой ЦНС используют: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гипотиазид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глюкозу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преднизолон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коргликон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При развитии надпочечниковой недостаточности у ребенка с родовой травмой ЦНС с заместительной целью используют: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гепарин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коргликон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преднизолон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lastRenderedPageBreak/>
        <w:t>г) фуросемид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Асфиксия новорожденного легкой степени характеризуется по шкале Апгар (в баллах):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8-10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6-7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4-5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1-3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Ослабленное дыхание, цианоз носогубного треугольника, снижение мышечного тонуса характерны для асфиксии новорожденного степени тяжести: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легкой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средней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тяжелой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Первый этап реанимации при асфиксии новорожденного: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ИВЛ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закрытый массаж сердца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коррекция метаболических расстройств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восстановление проходимости дыхательных путей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Второй этап реанимации при асфиксии новорожденного: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восстановление проходимости дыхательных путей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восстановление внешнего дыхания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коррекция гемодинамических расстройств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коррекция метаболических расстройств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Третий этап реанимации при асфиксии новорожденного: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восстановление проходимости дыхательных путей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восстановление внешнего дыхания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восстановление и поддержание сердечной деятельности и гемодинамики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ИВЛ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Укажите морфол</w:t>
      </w:r>
      <w:r w:rsidR="00B97A65">
        <w:rPr>
          <w:sz w:val="28"/>
          <w:szCs w:val="28"/>
        </w:rPr>
        <w:t>огический признак переношенного ребенка</w:t>
      </w:r>
      <w:bookmarkStart w:id="0" w:name="_GoBack"/>
      <w:bookmarkEnd w:id="0"/>
      <w:r>
        <w:rPr>
          <w:sz w:val="28"/>
          <w:szCs w:val="28"/>
        </w:rPr>
        <w:t>: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маленькие ушные раковины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неравномерно расположенные соски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наличие грудного кифоза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сухость кожи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numPr>
          <w:ilvl w:val="0"/>
          <w:numId w:val="2"/>
        </w:numPr>
      </w:pPr>
      <w:r>
        <w:rPr>
          <w:sz w:val="28"/>
          <w:szCs w:val="28"/>
        </w:rPr>
        <w:t>Родовая опухоль — это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а) кровоизлияние под надкостницу какой-либо кости свода черепа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б) отек предлежащей части из-за венозной гиперемии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в) локализованная онкологическая патология</w:t>
      </w:r>
    </w:p>
    <w:p w:rsidR="006C191F" w:rsidRDefault="006C191F" w:rsidP="006C191F">
      <w:pPr>
        <w:pStyle w:val="Standard"/>
      </w:pPr>
      <w:r>
        <w:rPr>
          <w:sz w:val="28"/>
          <w:szCs w:val="28"/>
        </w:rPr>
        <w:t>г) черепно-мозговая грыжа</w:t>
      </w: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  <w:jc w:val="both"/>
      </w:pP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</w:pPr>
    </w:p>
    <w:p w:rsidR="006C191F" w:rsidRDefault="006C191F" w:rsidP="006C191F">
      <w:pPr>
        <w:pStyle w:val="Standard"/>
      </w:pPr>
    </w:p>
    <w:p w:rsidR="009C0BB1" w:rsidRDefault="009C0BB1"/>
    <w:sectPr w:rsidR="009C0BB1" w:rsidSect="006000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panose1 w:val="020B0604020202020204"/>
    <w:charset w:val="02"/>
    <w:family w:val="auto"/>
    <w:pitch w:val="default"/>
  </w:font>
  <w:font w:name="Open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F214E"/>
    <w:multiLevelType w:val="multilevel"/>
    <w:tmpl w:val="D80020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8AE4538"/>
    <w:multiLevelType w:val="multilevel"/>
    <w:tmpl w:val="52A29B9E"/>
    <w:lvl w:ilvl="0">
      <w:start w:val="1"/>
      <w:numFmt w:val="decimal"/>
      <w:lvlText w:val=" %1."/>
      <w:lvlJc w:val="left"/>
      <w:pPr>
        <w:ind w:left="786" w:hanging="360"/>
      </w:pPr>
    </w:lvl>
    <w:lvl w:ilvl="1">
      <w:start w:val="1"/>
      <w:numFmt w:val="decimal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1F"/>
    <w:rsid w:val="006000EB"/>
    <w:rsid w:val="006C191F"/>
    <w:rsid w:val="009C0BB1"/>
    <w:rsid w:val="00B97A65"/>
    <w:rsid w:val="00D8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0BC26"/>
  <w14:defaultImageDpi w14:val="32767"/>
  <w15:chartTrackingRefBased/>
  <w15:docId w15:val="{A6E04F16-6096-9241-BB31-F4DA6EC5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6C191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91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S</dc:creator>
  <cp:keywords/>
  <dc:description/>
  <cp:lastModifiedBy>Constantine S</cp:lastModifiedBy>
  <cp:revision>2</cp:revision>
  <dcterms:created xsi:type="dcterms:W3CDTF">2018-02-24T09:44:00Z</dcterms:created>
  <dcterms:modified xsi:type="dcterms:W3CDTF">2018-02-24T10:18:00Z</dcterms:modified>
</cp:coreProperties>
</file>